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D1" w:rsidRDefault="00F322D1" w:rsidP="009C1D0F">
      <w:pPr>
        <w:jc w:val="center"/>
        <w:rPr>
          <w:b/>
          <w:bCs/>
          <w:sz w:val="28"/>
          <w:szCs w:val="28"/>
        </w:rPr>
      </w:pPr>
      <w:r w:rsidRPr="009C1D0F">
        <w:rPr>
          <w:rFonts w:hint="eastAsia"/>
          <w:b/>
          <w:bCs/>
          <w:sz w:val="28"/>
          <w:szCs w:val="28"/>
        </w:rPr>
        <w:t>呼伦贝尔职业技术学院“双高计划”建设专项咨询服务</w:t>
      </w:r>
    </w:p>
    <w:p w:rsidR="00CB51FF" w:rsidRDefault="00423E8D" w:rsidP="00432C9E">
      <w:pPr>
        <w:ind w:firstLineChars="200" w:firstLine="480"/>
        <w:rPr>
          <w:sz w:val="24"/>
        </w:rPr>
      </w:pPr>
      <w:r w:rsidRPr="00423E8D">
        <w:rPr>
          <w:rFonts w:hint="eastAsia"/>
          <w:sz w:val="24"/>
        </w:rPr>
        <w:t>为深入推进“中国特色高水平高职学校和专业建设计划”（简称“双高计划”）建设工作，需要拥有丰富的“双高计划”咨询经验和专家资源的服务方提供此项服务。</w:t>
      </w:r>
    </w:p>
    <w:p w:rsidR="00C27D0C" w:rsidRDefault="00CB51FF" w:rsidP="00432C9E">
      <w:pPr>
        <w:ind w:firstLineChars="200" w:firstLine="480"/>
        <w:rPr>
          <w:sz w:val="24"/>
        </w:rPr>
      </w:pPr>
      <w:r>
        <w:rPr>
          <w:rFonts w:hint="eastAsia"/>
          <w:sz w:val="24"/>
        </w:rPr>
        <w:t>一、</w:t>
      </w:r>
      <w:r w:rsidR="00423E8D" w:rsidRPr="00423E8D">
        <w:rPr>
          <w:rFonts w:hint="eastAsia"/>
          <w:sz w:val="24"/>
        </w:rPr>
        <w:t>服务内容包括</w:t>
      </w:r>
      <w:r>
        <w:rPr>
          <w:rFonts w:hint="eastAsia"/>
          <w:sz w:val="24"/>
        </w:rPr>
        <w:t>：</w:t>
      </w:r>
    </w:p>
    <w:p w:rsidR="00CB51FF" w:rsidRPr="009C1D0F" w:rsidRDefault="00CB51FF" w:rsidP="00CB51FF">
      <w:pPr>
        <w:rPr>
          <w:sz w:val="24"/>
        </w:rPr>
      </w:pPr>
      <w:r w:rsidRPr="009C1D0F">
        <w:rPr>
          <w:rFonts w:hint="eastAsia"/>
          <w:sz w:val="24"/>
        </w:rPr>
        <w:t>1.  诊断与评估：对 “双高计划”建设进展、成果与存在问题进行初步诊断、评估及提供改进意见。</w:t>
      </w:r>
    </w:p>
    <w:p w:rsidR="00CB51FF" w:rsidRPr="009C1D0F" w:rsidRDefault="00CB51FF" w:rsidP="00CB51FF">
      <w:pPr>
        <w:rPr>
          <w:sz w:val="24"/>
        </w:rPr>
      </w:pPr>
      <w:r w:rsidRPr="009C1D0F">
        <w:rPr>
          <w:rFonts w:hint="eastAsia"/>
          <w:sz w:val="24"/>
        </w:rPr>
        <w:t>2.  专题培训：就“双高计划”绩效评价指标、中期、和终期验收要点、方案撰写、自评报告、佐证材料和资金使用规范等主题提供培训服务。</w:t>
      </w:r>
    </w:p>
    <w:p w:rsidR="00CB51FF" w:rsidRPr="009C1D0F" w:rsidRDefault="00CB51FF" w:rsidP="00CB51FF">
      <w:pPr>
        <w:rPr>
          <w:sz w:val="24"/>
        </w:rPr>
      </w:pPr>
      <w:r w:rsidRPr="009C1D0F">
        <w:rPr>
          <w:rFonts w:hint="eastAsia"/>
          <w:sz w:val="24"/>
        </w:rPr>
        <w:t>3.  材料辅导：针对</w:t>
      </w:r>
      <w:r>
        <w:rPr>
          <w:rFonts w:hint="eastAsia"/>
          <w:sz w:val="24"/>
        </w:rPr>
        <w:t>项目</w:t>
      </w:r>
      <w:r w:rsidRPr="009C1D0F">
        <w:rPr>
          <w:rFonts w:hint="eastAsia"/>
          <w:sz w:val="24"/>
        </w:rPr>
        <w:t>申报书、总结报告、佐证材料等进行一对一精细化指导，提出修改完善意见。</w:t>
      </w:r>
    </w:p>
    <w:p w:rsidR="00CB51FF" w:rsidRPr="009C1D0F" w:rsidRDefault="00CB51FF" w:rsidP="00CB51FF">
      <w:pPr>
        <w:rPr>
          <w:sz w:val="24"/>
        </w:rPr>
      </w:pPr>
      <w:r w:rsidRPr="009C1D0F">
        <w:rPr>
          <w:rFonts w:hint="eastAsia"/>
          <w:sz w:val="24"/>
        </w:rPr>
        <w:t>4.  模拟评审：组织模拟答辩、评审会，提供专业反馈和优化建议。</w:t>
      </w:r>
    </w:p>
    <w:p w:rsidR="00CB51FF" w:rsidRPr="009C1D0F" w:rsidRDefault="00CB51FF" w:rsidP="00CB51FF">
      <w:pPr>
        <w:rPr>
          <w:sz w:val="24"/>
        </w:rPr>
      </w:pPr>
      <w:r>
        <w:rPr>
          <w:rFonts w:hint="eastAsia"/>
          <w:sz w:val="24"/>
        </w:rPr>
        <w:t>二、</w:t>
      </w:r>
      <w:r w:rsidRPr="009C1D0F">
        <w:rPr>
          <w:rFonts w:hint="eastAsia"/>
          <w:sz w:val="24"/>
        </w:rPr>
        <w:t>服务方式、时间与地点</w:t>
      </w:r>
    </w:p>
    <w:p w:rsidR="00CB51FF" w:rsidRPr="009C1D0F" w:rsidRDefault="00CB51FF" w:rsidP="00CB51FF">
      <w:pPr>
        <w:rPr>
          <w:sz w:val="24"/>
        </w:rPr>
      </w:pPr>
      <w:r w:rsidRPr="009C1D0F">
        <w:rPr>
          <w:rFonts w:hint="eastAsia"/>
          <w:sz w:val="24"/>
        </w:rPr>
        <w:t>1.  服务方式：组建专家团队，为</w:t>
      </w:r>
      <w:r>
        <w:rPr>
          <w:rFonts w:hint="eastAsia"/>
          <w:sz w:val="24"/>
        </w:rPr>
        <w:t>我院</w:t>
      </w:r>
      <w:r w:rsidRPr="009C1D0F">
        <w:rPr>
          <w:rFonts w:hint="eastAsia"/>
          <w:sz w:val="24"/>
        </w:rPr>
        <w:t>进行线上</w:t>
      </w:r>
      <w:r>
        <w:rPr>
          <w:rFonts w:hint="eastAsia"/>
          <w:sz w:val="24"/>
        </w:rPr>
        <w:t>、</w:t>
      </w:r>
      <w:r w:rsidRPr="009C1D0F">
        <w:rPr>
          <w:rFonts w:hint="eastAsia"/>
          <w:sz w:val="24"/>
        </w:rPr>
        <w:t>线下辅导。</w:t>
      </w:r>
    </w:p>
    <w:p w:rsidR="00CB51FF" w:rsidRPr="009C1D0F" w:rsidRDefault="00CB51FF" w:rsidP="00CB51FF">
      <w:pPr>
        <w:rPr>
          <w:sz w:val="24"/>
        </w:rPr>
      </w:pPr>
      <w:r w:rsidRPr="009C1D0F">
        <w:rPr>
          <w:rFonts w:hint="eastAsia"/>
          <w:sz w:val="24"/>
        </w:rPr>
        <w:t>2.  服务期限：壹年，具体开始和结束时间需根据签订日期和项目实际建设进度及资金使用情况确定。</w:t>
      </w:r>
    </w:p>
    <w:p w:rsidR="00CB51FF" w:rsidRPr="009C1D0F" w:rsidRDefault="00CB51FF" w:rsidP="00CB51FF">
      <w:pPr>
        <w:rPr>
          <w:sz w:val="24"/>
        </w:rPr>
      </w:pPr>
      <w:r w:rsidRPr="009C1D0F">
        <w:rPr>
          <w:rFonts w:hint="eastAsia"/>
          <w:sz w:val="24"/>
        </w:rPr>
        <w:t>3.  服务地点：校内指定场所（需提供能满足辅导要求的会议室、多媒体设备等）、</w:t>
      </w:r>
      <w:r>
        <w:rPr>
          <w:rFonts w:hint="eastAsia"/>
          <w:sz w:val="24"/>
        </w:rPr>
        <w:t>校外培训场所（需实地学习国内“双高”院校先进经验做法，服务</w:t>
      </w:r>
      <w:r w:rsidRPr="009C1D0F">
        <w:rPr>
          <w:rFonts w:hint="eastAsia"/>
          <w:sz w:val="24"/>
        </w:rPr>
        <w:t>方提供</w:t>
      </w:r>
      <w:r>
        <w:rPr>
          <w:rFonts w:hint="eastAsia"/>
          <w:sz w:val="24"/>
        </w:rPr>
        <w:t>院外</w:t>
      </w:r>
      <w:r w:rsidRPr="009C1D0F">
        <w:rPr>
          <w:rFonts w:hint="eastAsia"/>
          <w:sz w:val="24"/>
        </w:rPr>
        <w:t>相关培训场所</w:t>
      </w:r>
      <w:r>
        <w:rPr>
          <w:rFonts w:hint="eastAsia"/>
          <w:sz w:val="24"/>
        </w:rPr>
        <w:t>）</w:t>
      </w:r>
      <w:r w:rsidRPr="009C1D0F">
        <w:rPr>
          <w:rFonts w:hint="eastAsia"/>
          <w:sz w:val="24"/>
        </w:rPr>
        <w:t>。</w:t>
      </w:r>
    </w:p>
    <w:p w:rsidR="00CB51FF" w:rsidRPr="009C1D0F" w:rsidRDefault="00CB51FF" w:rsidP="00CB51FF">
      <w:pPr>
        <w:rPr>
          <w:sz w:val="24"/>
        </w:rPr>
      </w:pPr>
      <w:r>
        <w:rPr>
          <w:rFonts w:hint="eastAsia"/>
          <w:sz w:val="24"/>
        </w:rPr>
        <w:t>三、</w:t>
      </w:r>
      <w:r w:rsidRPr="009C1D0F">
        <w:rPr>
          <w:rFonts w:hint="eastAsia"/>
          <w:sz w:val="24"/>
        </w:rPr>
        <w:t>服务费用及支付方式</w:t>
      </w:r>
    </w:p>
    <w:p w:rsidR="00CB51FF" w:rsidRPr="009C1D0F" w:rsidRDefault="00CB51FF" w:rsidP="00CB51FF">
      <w:pPr>
        <w:rPr>
          <w:sz w:val="24"/>
        </w:rPr>
      </w:pPr>
      <w:r w:rsidRPr="009C1D0F">
        <w:rPr>
          <w:rFonts w:hint="eastAsia"/>
          <w:sz w:val="24"/>
        </w:rPr>
        <w:lastRenderedPageBreak/>
        <w:t>1.  费用总额：服务费用为含税价人民币壹拾万元整（￥</w:t>
      </w:r>
      <w:r w:rsidR="00A80F68">
        <w:rPr>
          <w:rFonts w:hint="eastAsia"/>
          <w:sz w:val="24"/>
        </w:rPr>
        <w:t>98</w:t>
      </w:r>
      <w:r w:rsidRPr="009C1D0F">
        <w:rPr>
          <w:rFonts w:hint="eastAsia"/>
          <w:sz w:val="24"/>
        </w:rPr>
        <w:t>,000.00）。</w:t>
      </w:r>
    </w:p>
    <w:p w:rsidR="00CB51FF" w:rsidRPr="00CB51FF" w:rsidRDefault="00CB51FF" w:rsidP="00CB51FF">
      <w:pPr>
        <w:rPr>
          <w:sz w:val="24"/>
        </w:rPr>
      </w:pPr>
      <w:r w:rsidRPr="009C1D0F">
        <w:rPr>
          <w:rFonts w:hint="eastAsia"/>
          <w:sz w:val="24"/>
        </w:rPr>
        <w:t>2.  费用构成</w:t>
      </w:r>
      <w:r>
        <w:rPr>
          <w:rFonts w:hint="eastAsia"/>
          <w:sz w:val="24"/>
        </w:rPr>
        <w:t>具体如下</w:t>
      </w:r>
      <w:r w:rsidRPr="009C1D0F">
        <w:rPr>
          <w:rFonts w:hint="eastAsia"/>
          <w:sz w:val="24"/>
        </w:rPr>
        <w:t>：</w:t>
      </w:r>
    </w:p>
    <w:tbl>
      <w:tblPr>
        <w:tblStyle w:val="aa"/>
        <w:tblW w:w="0" w:type="auto"/>
        <w:jc w:val="center"/>
        <w:tblLook w:val="04A0"/>
      </w:tblPr>
      <w:tblGrid>
        <w:gridCol w:w="1129"/>
        <w:gridCol w:w="4401"/>
        <w:gridCol w:w="2766"/>
      </w:tblGrid>
      <w:tr w:rsidR="00C27D0C" w:rsidTr="00C27D0C">
        <w:trPr>
          <w:jc w:val="center"/>
        </w:trPr>
        <w:tc>
          <w:tcPr>
            <w:tcW w:w="1129" w:type="dxa"/>
          </w:tcPr>
          <w:p w:rsidR="00C27D0C" w:rsidRDefault="00C27D0C" w:rsidP="00C27D0C">
            <w:pPr>
              <w:jc w:val="center"/>
              <w:rPr>
                <w:sz w:val="24"/>
              </w:rPr>
            </w:pPr>
            <w:r>
              <w:rPr>
                <w:rFonts w:hint="eastAsia"/>
                <w:sz w:val="24"/>
              </w:rPr>
              <w:t>序号</w:t>
            </w:r>
          </w:p>
        </w:tc>
        <w:tc>
          <w:tcPr>
            <w:tcW w:w="4401" w:type="dxa"/>
          </w:tcPr>
          <w:p w:rsidR="00C27D0C" w:rsidRDefault="00C27D0C" w:rsidP="00C27D0C">
            <w:pPr>
              <w:jc w:val="center"/>
              <w:rPr>
                <w:sz w:val="24"/>
              </w:rPr>
            </w:pPr>
            <w:r>
              <w:rPr>
                <w:rFonts w:hint="eastAsia"/>
                <w:sz w:val="24"/>
              </w:rPr>
              <w:t>乙方提供服务项目</w:t>
            </w:r>
          </w:p>
        </w:tc>
        <w:tc>
          <w:tcPr>
            <w:tcW w:w="2766" w:type="dxa"/>
          </w:tcPr>
          <w:p w:rsidR="00C27D0C" w:rsidRDefault="00C27D0C" w:rsidP="00C27D0C">
            <w:pPr>
              <w:jc w:val="center"/>
              <w:rPr>
                <w:sz w:val="24"/>
              </w:rPr>
            </w:pPr>
            <w:r>
              <w:rPr>
                <w:rFonts w:hint="eastAsia"/>
                <w:sz w:val="24"/>
              </w:rPr>
              <w:t>费用（单位：元）</w:t>
            </w:r>
          </w:p>
        </w:tc>
      </w:tr>
      <w:tr w:rsidR="00C27D0C" w:rsidTr="00C27D0C">
        <w:trPr>
          <w:jc w:val="center"/>
        </w:trPr>
        <w:tc>
          <w:tcPr>
            <w:tcW w:w="1129" w:type="dxa"/>
          </w:tcPr>
          <w:p w:rsidR="00C27D0C" w:rsidRDefault="00C27D0C" w:rsidP="00C27D0C">
            <w:pPr>
              <w:jc w:val="center"/>
              <w:rPr>
                <w:sz w:val="24"/>
              </w:rPr>
            </w:pPr>
            <w:r>
              <w:rPr>
                <w:rFonts w:hint="eastAsia"/>
                <w:sz w:val="24"/>
              </w:rPr>
              <w:t>1</w:t>
            </w:r>
          </w:p>
        </w:tc>
        <w:tc>
          <w:tcPr>
            <w:tcW w:w="4401" w:type="dxa"/>
          </w:tcPr>
          <w:p w:rsidR="00C27D0C" w:rsidRDefault="00C27D0C" w:rsidP="00C27D0C">
            <w:pPr>
              <w:jc w:val="center"/>
              <w:rPr>
                <w:sz w:val="24"/>
              </w:rPr>
            </w:pPr>
            <w:r w:rsidRPr="009C1D0F">
              <w:rPr>
                <w:rFonts w:hint="eastAsia"/>
                <w:sz w:val="24"/>
              </w:rPr>
              <w:t>聘请专家劳务费</w:t>
            </w:r>
          </w:p>
        </w:tc>
        <w:tc>
          <w:tcPr>
            <w:tcW w:w="2766" w:type="dxa"/>
          </w:tcPr>
          <w:p w:rsidR="00C27D0C" w:rsidRDefault="00C27D0C" w:rsidP="00C27D0C">
            <w:pPr>
              <w:jc w:val="center"/>
              <w:rPr>
                <w:sz w:val="24"/>
              </w:rPr>
            </w:pPr>
            <w:r>
              <w:rPr>
                <w:rFonts w:hint="eastAsia"/>
                <w:sz w:val="24"/>
              </w:rPr>
              <w:t>5000.00</w:t>
            </w:r>
          </w:p>
        </w:tc>
      </w:tr>
      <w:tr w:rsidR="00C27D0C" w:rsidTr="00C27D0C">
        <w:trPr>
          <w:jc w:val="center"/>
        </w:trPr>
        <w:tc>
          <w:tcPr>
            <w:tcW w:w="1129" w:type="dxa"/>
          </w:tcPr>
          <w:p w:rsidR="00C27D0C" w:rsidRDefault="00C27D0C" w:rsidP="00C27D0C">
            <w:pPr>
              <w:jc w:val="center"/>
              <w:rPr>
                <w:sz w:val="24"/>
              </w:rPr>
            </w:pPr>
            <w:r>
              <w:rPr>
                <w:rFonts w:hint="eastAsia"/>
                <w:sz w:val="24"/>
              </w:rPr>
              <w:t>2</w:t>
            </w:r>
          </w:p>
        </w:tc>
        <w:tc>
          <w:tcPr>
            <w:tcW w:w="4401" w:type="dxa"/>
          </w:tcPr>
          <w:p w:rsidR="00C27D0C" w:rsidRDefault="00C27D0C" w:rsidP="00C27D0C">
            <w:pPr>
              <w:jc w:val="center"/>
              <w:rPr>
                <w:sz w:val="24"/>
              </w:rPr>
            </w:pPr>
            <w:r w:rsidRPr="009C1D0F">
              <w:rPr>
                <w:rFonts w:hint="eastAsia"/>
                <w:sz w:val="24"/>
              </w:rPr>
              <w:t>培训费</w:t>
            </w:r>
          </w:p>
        </w:tc>
        <w:tc>
          <w:tcPr>
            <w:tcW w:w="2766" w:type="dxa"/>
          </w:tcPr>
          <w:p w:rsidR="00C27D0C" w:rsidRDefault="00AC4177" w:rsidP="00C27D0C">
            <w:pPr>
              <w:jc w:val="center"/>
              <w:rPr>
                <w:sz w:val="24"/>
              </w:rPr>
            </w:pPr>
            <w:r>
              <w:rPr>
                <w:rFonts w:hint="eastAsia"/>
                <w:sz w:val="24"/>
              </w:rPr>
              <w:t>13</w:t>
            </w:r>
            <w:r w:rsidR="00C27D0C">
              <w:rPr>
                <w:rFonts w:hint="eastAsia"/>
                <w:sz w:val="24"/>
              </w:rPr>
              <w:t>000.00</w:t>
            </w:r>
          </w:p>
        </w:tc>
      </w:tr>
      <w:tr w:rsidR="00C27D0C" w:rsidTr="00C27D0C">
        <w:trPr>
          <w:jc w:val="center"/>
        </w:trPr>
        <w:tc>
          <w:tcPr>
            <w:tcW w:w="1129" w:type="dxa"/>
          </w:tcPr>
          <w:p w:rsidR="00C27D0C" w:rsidRDefault="00C27D0C" w:rsidP="00C27D0C">
            <w:pPr>
              <w:jc w:val="center"/>
              <w:rPr>
                <w:sz w:val="24"/>
              </w:rPr>
            </w:pPr>
            <w:r>
              <w:rPr>
                <w:rFonts w:hint="eastAsia"/>
                <w:sz w:val="24"/>
              </w:rPr>
              <w:t>3</w:t>
            </w:r>
          </w:p>
        </w:tc>
        <w:tc>
          <w:tcPr>
            <w:tcW w:w="4401" w:type="dxa"/>
          </w:tcPr>
          <w:p w:rsidR="00C27D0C" w:rsidRDefault="00C27D0C" w:rsidP="00C27D0C">
            <w:pPr>
              <w:jc w:val="center"/>
              <w:rPr>
                <w:sz w:val="24"/>
              </w:rPr>
            </w:pPr>
            <w:r w:rsidRPr="009C1D0F">
              <w:rPr>
                <w:rFonts w:hint="eastAsia"/>
                <w:sz w:val="24"/>
              </w:rPr>
              <w:t>聘请专家差旅费</w:t>
            </w:r>
          </w:p>
        </w:tc>
        <w:tc>
          <w:tcPr>
            <w:tcW w:w="2766" w:type="dxa"/>
          </w:tcPr>
          <w:p w:rsidR="00C27D0C" w:rsidRDefault="0069653B" w:rsidP="00C27D0C">
            <w:pPr>
              <w:jc w:val="center"/>
              <w:rPr>
                <w:sz w:val="24"/>
              </w:rPr>
            </w:pPr>
            <w:r>
              <w:rPr>
                <w:rFonts w:hint="eastAsia"/>
                <w:sz w:val="24"/>
              </w:rPr>
              <w:t>7</w:t>
            </w:r>
            <w:r w:rsidR="00C27D0C">
              <w:rPr>
                <w:rFonts w:hint="eastAsia"/>
                <w:sz w:val="24"/>
              </w:rPr>
              <w:t>000.00</w:t>
            </w:r>
          </w:p>
        </w:tc>
      </w:tr>
      <w:tr w:rsidR="00C27D0C" w:rsidTr="00C27D0C">
        <w:trPr>
          <w:jc w:val="center"/>
        </w:trPr>
        <w:tc>
          <w:tcPr>
            <w:tcW w:w="1129" w:type="dxa"/>
          </w:tcPr>
          <w:p w:rsidR="00C27D0C" w:rsidRDefault="00C27D0C" w:rsidP="00C27D0C">
            <w:pPr>
              <w:jc w:val="center"/>
              <w:rPr>
                <w:sz w:val="24"/>
              </w:rPr>
            </w:pPr>
            <w:r>
              <w:rPr>
                <w:rFonts w:hint="eastAsia"/>
                <w:sz w:val="24"/>
              </w:rPr>
              <w:t>4</w:t>
            </w:r>
          </w:p>
        </w:tc>
        <w:tc>
          <w:tcPr>
            <w:tcW w:w="4401" w:type="dxa"/>
          </w:tcPr>
          <w:p w:rsidR="00C27D0C" w:rsidRDefault="00C27D0C" w:rsidP="00C27D0C">
            <w:pPr>
              <w:jc w:val="center"/>
              <w:rPr>
                <w:sz w:val="24"/>
              </w:rPr>
            </w:pPr>
            <w:r>
              <w:rPr>
                <w:rFonts w:hint="eastAsia"/>
                <w:sz w:val="24"/>
              </w:rPr>
              <w:t>资料费</w:t>
            </w:r>
          </w:p>
        </w:tc>
        <w:tc>
          <w:tcPr>
            <w:tcW w:w="2766" w:type="dxa"/>
          </w:tcPr>
          <w:p w:rsidR="00C27D0C" w:rsidRDefault="00C27D0C" w:rsidP="00C27D0C">
            <w:pPr>
              <w:jc w:val="center"/>
              <w:rPr>
                <w:sz w:val="24"/>
              </w:rPr>
            </w:pPr>
            <w:r>
              <w:rPr>
                <w:rFonts w:hint="eastAsia"/>
                <w:sz w:val="24"/>
              </w:rPr>
              <w:t>8000.00</w:t>
            </w:r>
          </w:p>
        </w:tc>
      </w:tr>
      <w:tr w:rsidR="00C27D0C" w:rsidTr="00C27D0C">
        <w:trPr>
          <w:jc w:val="center"/>
        </w:trPr>
        <w:tc>
          <w:tcPr>
            <w:tcW w:w="1129" w:type="dxa"/>
          </w:tcPr>
          <w:p w:rsidR="00C27D0C" w:rsidRDefault="00AC4177" w:rsidP="00C27D0C">
            <w:pPr>
              <w:jc w:val="center"/>
              <w:rPr>
                <w:sz w:val="24"/>
              </w:rPr>
            </w:pPr>
            <w:r>
              <w:rPr>
                <w:rFonts w:hint="eastAsia"/>
                <w:sz w:val="24"/>
              </w:rPr>
              <w:t>5</w:t>
            </w:r>
          </w:p>
        </w:tc>
        <w:tc>
          <w:tcPr>
            <w:tcW w:w="4401" w:type="dxa"/>
          </w:tcPr>
          <w:p w:rsidR="00C27D0C" w:rsidRPr="009C1D0F" w:rsidRDefault="00C27D0C" w:rsidP="00C27D0C">
            <w:pPr>
              <w:jc w:val="center"/>
              <w:rPr>
                <w:sz w:val="24"/>
              </w:rPr>
            </w:pPr>
            <w:r w:rsidRPr="009C1D0F">
              <w:rPr>
                <w:rFonts w:hint="eastAsia"/>
                <w:sz w:val="24"/>
              </w:rPr>
              <w:t>宣传费</w:t>
            </w:r>
          </w:p>
        </w:tc>
        <w:tc>
          <w:tcPr>
            <w:tcW w:w="2766" w:type="dxa"/>
          </w:tcPr>
          <w:p w:rsidR="00C27D0C" w:rsidRDefault="00C27D0C" w:rsidP="00C27D0C">
            <w:pPr>
              <w:jc w:val="center"/>
              <w:rPr>
                <w:sz w:val="24"/>
              </w:rPr>
            </w:pPr>
            <w:r>
              <w:rPr>
                <w:rFonts w:hint="eastAsia"/>
                <w:sz w:val="24"/>
              </w:rPr>
              <w:t>7000.00</w:t>
            </w:r>
          </w:p>
        </w:tc>
      </w:tr>
      <w:tr w:rsidR="00C27D0C" w:rsidTr="00C27D0C">
        <w:trPr>
          <w:jc w:val="center"/>
        </w:trPr>
        <w:tc>
          <w:tcPr>
            <w:tcW w:w="1129" w:type="dxa"/>
          </w:tcPr>
          <w:p w:rsidR="00C27D0C" w:rsidRDefault="00AC4177" w:rsidP="00C27D0C">
            <w:pPr>
              <w:jc w:val="center"/>
              <w:rPr>
                <w:sz w:val="24"/>
              </w:rPr>
            </w:pPr>
            <w:r>
              <w:rPr>
                <w:rFonts w:hint="eastAsia"/>
                <w:sz w:val="24"/>
              </w:rPr>
              <w:t>6</w:t>
            </w:r>
          </w:p>
        </w:tc>
        <w:tc>
          <w:tcPr>
            <w:tcW w:w="4401" w:type="dxa"/>
          </w:tcPr>
          <w:p w:rsidR="00C27D0C" w:rsidRPr="009C1D0F" w:rsidRDefault="00C27D0C" w:rsidP="00C27D0C">
            <w:pPr>
              <w:jc w:val="center"/>
              <w:rPr>
                <w:sz w:val="24"/>
              </w:rPr>
            </w:pPr>
            <w:r w:rsidRPr="009C1D0F">
              <w:rPr>
                <w:rFonts w:hint="eastAsia"/>
                <w:sz w:val="24"/>
              </w:rPr>
              <w:t>甲方参训人员差旅费</w:t>
            </w:r>
          </w:p>
        </w:tc>
        <w:tc>
          <w:tcPr>
            <w:tcW w:w="2766" w:type="dxa"/>
          </w:tcPr>
          <w:p w:rsidR="00C27D0C" w:rsidRDefault="00C27D0C" w:rsidP="00C27D0C">
            <w:pPr>
              <w:jc w:val="center"/>
              <w:rPr>
                <w:sz w:val="24"/>
              </w:rPr>
            </w:pPr>
            <w:r>
              <w:rPr>
                <w:rFonts w:hint="eastAsia"/>
                <w:sz w:val="24"/>
              </w:rPr>
              <w:t>50000.00</w:t>
            </w:r>
          </w:p>
        </w:tc>
      </w:tr>
      <w:tr w:rsidR="00C27D0C" w:rsidTr="00C27D0C">
        <w:trPr>
          <w:jc w:val="center"/>
        </w:trPr>
        <w:tc>
          <w:tcPr>
            <w:tcW w:w="1129" w:type="dxa"/>
          </w:tcPr>
          <w:p w:rsidR="00C27D0C" w:rsidRDefault="00AC4177" w:rsidP="00C27D0C">
            <w:pPr>
              <w:jc w:val="center"/>
              <w:rPr>
                <w:sz w:val="24"/>
              </w:rPr>
            </w:pPr>
            <w:r>
              <w:rPr>
                <w:rFonts w:hint="eastAsia"/>
                <w:sz w:val="24"/>
              </w:rPr>
              <w:t>7</w:t>
            </w:r>
          </w:p>
        </w:tc>
        <w:tc>
          <w:tcPr>
            <w:tcW w:w="4401" w:type="dxa"/>
          </w:tcPr>
          <w:p w:rsidR="00C27D0C" w:rsidRPr="009C1D0F" w:rsidRDefault="00C27D0C" w:rsidP="00C27D0C">
            <w:pPr>
              <w:jc w:val="center"/>
              <w:rPr>
                <w:sz w:val="24"/>
              </w:rPr>
            </w:pPr>
            <w:r w:rsidRPr="009C1D0F">
              <w:rPr>
                <w:rFonts w:hint="eastAsia"/>
                <w:sz w:val="24"/>
              </w:rPr>
              <w:t>职业院校技能大赛辅导</w:t>
            </w:r>
            <w:r>
              <w:rPr>
                <w:rFonts w:hint="eastAsia"/>
                <w:sz w:val="24"/>
              </w:rPr>
              <w:t>费</w:t>
            </w:r>
          </w:p>
        </w:tc>
        <w:tc>
          <w:tcPr>
            <w:tcW w:w="2766" w:type="dxa"/>
          </w:tcPr>
          <w:p w:rsidR="00C27D0C" w:rsidRDefault="00A80F68" w:rsidP="00C27D0C">
            <w:pPr>
              <w:jc w:val="center"/>
              <w:rPr>
                <w:sz w:val="24"/>
              </w:rPr>
            </w:pPr>
            <w:r>
              <w:rPr>
                <w:rFonts w:hint="eastAsia"/>
                <w:sz w:val="24"/>
              </w:rPr>
              <w:t>8</w:t>
            </w:r>
            <w:r w:rsidR="00C27D0C">
              <w:rPr>
                <w:rFonts w:hint="eastAsia"/>
                <w:sz w:val="24"/>
              </w:rPr>
              <w:t>000.00</w:t>
            </w:r>
          </w:p>
        </w:tc>
      </w:tr>
      <w:tr w:rsidR="00C27D0C" w:rsidTr="00C27D0C">
        <w:trPr>
          <w:jc w:val="center"/>
        </w:trPr>
        <w:tc>
          <w:tcPr>
            <w:tcW w:w="1129" w:type="dxa"/>
          </w:tcPr>
          <w:p w:rsidR="00C27D0C" w:rsidRDefault="00C27D0C" w:rsidP="00C27D0C">
            <w:pPr>
              <w:jc w:val="center"/>
              <w:rPr>
                <w:sz w:val="24"/>
              </w:rPr>
            </w:pPr>
          </w:p>
        </w:tc>
        <w:tc>
          <w:tcPr>
            <w:tcW w:w="4401" w:type="dxa"/>
          </w:tcPr>
          <w:p w:rsidR="00C27D0C" w:rsidRPr="009C1D0F" w:rsidRDefault="00C27D0C" w:rsidP="00C27D0C">
            <w:pPr>
              <w:jc w:val="center"/>
              <w:rPr>
                <w:sz w:val="24"/>
              </w:rPr>
            </w:pPr>
            <w:r>
              <w:rPr>
                <w:rFonts w:hint="eastAsia"/>
                <w:sz w:val="24"/>
              </w:rPr>
              <w:t>合计</w:t>
            </w:r>
          </w:p>
        </w:tc>
        <w:tc>
          <w:tcPr>
            <w:tcW w:w="2766" w:type="dxa"/>
          </w:tcPr>
          <w:p w:rsidR="00C27D0C" w:rsidRDefault="00A80F68" w:rsidP="00C27D0C">
            <w:pPr>
              <w:jc w:val="center"/>
              <w:rPr>
                <w:sz w:val="24"/>
              </w:rPr>
            </w:pPr>
            <w:r>
              <w:rPr>
                <w:rFonts w:hint="eastAsia"/>
                <w:sz w:val="24"/>
              </w:rPr>
              <w:t>98</w:t>
            </w:r>
            <w:r w:rsidR="00C27D0C">
              <w:rPr>
                <w:rFonts w:hint="eastAsia"/>
                <w:sz w:val="24"/>
              </w:rPr>
              <w:t>000.00</w:t>
            </w:r>
          </w:p>
        </w:tc>
      </w:tr>
    </w:tbl>
    <w:p w:rsidR="00CB51FF" w:rsidRPr="009C1D0F" w:rsidRDefault="00CB51FF" w:rsidP="00CB51FF">
      <w:pPr>
        <w:rPr>
          <w:sz w:val="24"/>
        </w:rPr>
      </w:pPr>
      <w:r w:rsidRPr="009C1D0F">
        <w:rPr>
          <w:rFonts w:hint="eastAsia"/>
          <w:sz w:val="24"/>
        </w:rPr>
        <w:t>3.  费用包括：</w:t>
      </w:r>
      <w:r w:rsidR="00C364AF">
        <w:rPr>
          <w:rFonts w:hint="eastAsia"/>
          <w:sz w:val="24"/>
        </w:rPr>
        <w:t>聘请国内专家对我院</w:t>
      </w:r>
      <w:r w:rsidRPr="009C1D0F">
        <w:rPr>
          <w:rFonts w:hint="eastAsia"/>
          <w:sz w:val="24"/>
        </w:rPr>
        <w:t>“双高项目”</w:t>
      </w:r>
      <w:r w:rsidR="00C364AF">
        <w:rPr>
          <w:rFonts w:hint="eastAsia"/>
          <w:sz w:val="24"/>
        </w:rPr>
        <w:t>进行</w:t>
      </w:r>
      <w:r w:rsidRPr="009C1D0F">
        <w:rPr>
          <w:rFonts w:hint="eastAsia"/>
          <w:sz w:val="24"/>
        </w:rPr>
        <w:t>线下</w:t>
      </w:r>
      <w:r w:rsidR="00C364AF">
        <w:rPr>
          <w:rFonts w:hint="eastAsia"/>
          <w:sz w:val="24"/>
        </w:rPr>
        <w:t>辅导</w:t>
      </w:r>
      <w:r w:rsidRPr="009C1D0F">
        <w:rPr>
          <w:rFonts w:hint="eastAsia"/>
          <w:sz w:val="24"/>
        </w:rPr>
        <w:t>1次</w:t>
      </w:r>
      <w:r w:rsidR="00C364AF">
        <w:rPr>
          <w:rFonts w:hint="eastAsia"/>
          <w:sz w:val="24"/>
        </w:rPr>
        <w:t>（为期</w:t>
      </w:r>
      <w:r w:rsidRPr="009C1D0F">
        <w:rPr>
          <w:rFonts w:hint="eastAsia"/>
          <w:sz w:val="24"/>
        </w:rPr>
        <w:t>5天</w:t>
      </w:r>
      <w:r w:rsidR="00C364AF">
        <w:rPr>
          <w:rFonts w:hint="eastAsia"/>
          <w:sz w:val="24"/>
        </w:rPr>
        <w:t>）</w:t>
      </w:r>
      <w:r w:rsidRPr="009C1D0F">
        <w:rPr>
          <w:rFonts w:hint="eastAsia"/>
          <w:sz w:val="24"/>
        </w:rPr>
        <w:t>，“双高项目”线上辅导1次</w:t>
      </w:r>
      <w:r w:rsidR="00C364AF">
        <w:rPr>
          <w:rFonts w:hint="eastAsia"/>
          <w:sz w:val="24"/>
        </w:rPr>
        <w:t>（时长不少于2小时）</w:t>
      </w:r>
      <w:r w:rsidRPr="009C1D0F">
        <w:rPr>
          <w:rFonts w:hint="eastAsia"/>
          <w:sz w:val="24"/>
        </w:rPr>
        <w:t>，职业院校技能大赛辅导1项</w:t>
      </w:r>
      <w:r w:rsidR="00C364AF">
        <w:rPr>
          <w:rFonts w:hint="eastAsia"/>
          <w:sz w:val="24"/>
        </w:rPr>
        <w:t>（线上或线下）</w:t>
      </w:r>
      <w:r w:rsidRPr="009C1D0F">
        <w:rPr>
          <w:rFonts w:hint="eastAsia"/>
          <w:sz w:val="24"/>
        </w:rPr>
        <w:t>。</w:t>
      </w:r>
    </w:p>
    <w:p w:rsidR="00CB51FF" w:rsidRPr="009C1D0F" w:rsidRDefault="00CB51FF" w:rsidP="00CB51FF">
      <w:pPr>
        <w:rPr>
          <w:sz w:val="24"/>
        </w:rPr>
      </w:pPr>
      <w:r w:rsidRPr="009C1D0F">
        <w:rPr>
          <w:rFonts w:hint="eastAsia"/>
          <w:sz w:val="24"/>
        </w:rPr>
        <w:t>4.  支付方式：</w:t>
      </w:r>
    </w:p>
    <w:p w:rsidR="00CB51FF" w:rsidRPr="009C1D0F" w:rsidRDefault="00CB51FF" w:rsidP="00CB51FF">
      <w:pPr>
        <w:ind w:firstLine="563"/>
        <w:rPr>
          <w:sz w:val="24"/>
        </w:rPr>
      </w:pPr>
      <w:r w:rsidRPr="009C1D0F">
        <w:rPr>
          <w:rFonts w:hint="eastAsia"/>
          <w:sz w:val="24"/>
        </w:rPr>
        <w:t>本协议正式签订生效后2个月内，支付全款，即人民币拾万元整（￥</w:t>
      </w:r>
      <w:r w:rsidR="00A80F68">
        <w:rPr>
          <w:rFonts w:hint="eastAsia"/>
          <w:sz w:val="24"/>
        </w:rPr>
        <w:t>98</w:t>
      </w:r>
      <w:r w:rsidRPr="009C1D0F">
        <w:rPr>
          <w:rFonts w:hint="eastAsia"/>
          <w:sz w:val="24"/>
        </w:rPr>
        <w:t>,000.00）。</w:t>
      </w:r>
    </w:p>
    <w:p w:rsidR="00CB51FF" w:rsidRPr="009C1D0F" w:rsidRDefault="00C364AF" w:rsidP="00CB51FF">
      <w:pPr>
        <w:rPr>
          <w:sz w:val="24"/>
        </w:rPr>
      </w:pPr>
      <w:r>
        <w:rPr>
          <w:rFonts w:hint="eastAsia"/>
          <w:sz w:val="24"/>
        </w:rPr>
        <w:t>四、服务方</w:t>
      </w:r>
      <w:r w:rsidR="00CB51FF" w:rsidRPr="009C1D0F">
        <w:rPr>
          <w:rFonts w:hint="eastAsia"/>
          <w:sz w:val="24"/>
        </w:rPr>
        <w:t>义务</w:t>
      </w:r>
    </w:p>
    <w:p w:rsidR="00CB51FF" w:rsidRPr="009C1D0F" w:rsidRDefault="00CB51FF" w:rsidP="00CB51FF">
      <w:pPr>
        <w:rPr>
          <w:sz w:val="24"/>
        </w:rPr>
      </w:pPr>
      <w:r w:rsidRPr="009C1D0F">
        <w:rPr>
          <w:rFonts w:hint="eastAsia"/>
          <w:sz w:val="24"/>
        </w:rPr>
        <w:t>1.  保证派出专家具备相应的资质和能力，按时按质完成协议约定的服务内容。</w:t>
      </w:r>
    </w:p>
    <w:p w:rsidR="00CB51FF" w:rsidRPr="009C1D0F" w:rsidRDefault="00CB51FF" w:rsidP="00CB51FF">
      <w:pPr>
        <w:rPr>
          <w:sz w:val="24"/>
        </w:rPr>
      </w:pPr>
      <w:r w:rsidRPr="009C1D0F">
        <w:rPr>
          <w:rFonts w:hint="eastAsia"/>
          <w:sz w:val="24"/>
        </w:rPr>
        <w:t>2.  提供必要的培训条件（场地、网络、投影设备等）并指定专人对接，协调培</w:t>
      </w:r>
      <w:r w:rsidRPr="009C1D0F">
        <w:rPr>
          <w:rFonts w:hint="eastAsia"/>
          <w:sz w:val="24"/>
        </w:rPr>
        <w:lastRenderedPageBreak/>
        <w:t>训资源积极配合。</w:t>
      </w:r>
    </w:p>
    <w:p w:rsidR="00CB51FF" w:rsidRPr="009C1D0F" w:rsidRDefault="00CB51FF" w:rsidP="00CB51FF">
      <w:pPr>
        <w:rPr>
          <w:sz w:val="24"/>
        </w:rPr>
      </w:pPr>
      <w:r w:rsidRPr="009C1D0F">
        <w:rPr>
          <w:rFonts w:hint="eastAsia"/>
          <w:sz w:val="24"/>
        </w:rPr>
        <w:t>3.  对其服务成果的科学性、专业性负责。对其在服务过程中知悉的甲方所有信息负有无期限的保密责任。</w:t>
      </w:r>
    </w:p>
    <w:p w:rsidR="00CB51FF" w:rsidRDefault="00CB51FF" w:rsidP="00CB51FF">
      <w:pPr>
        <w:rPr>
          <w:sz w:val="24"/>
        </w:rPr>
      </w:pPr>
      <w:r w:rsidRPr="009C1D0F">
        <w:rPr>
          <w:rFonts w:hint="eastAsia"/>
          <w:sz w:val="24"/>
        </w:rPr>
        <w:t>4.  自行负责其专家的人身和财产安全，在服务期间购买必要的保险。</w:t>
      </w:r>
    </w:p>
    <w:p w:rsidR="0080285C" w:rsidRDefault="0080285C" w:rsidP="00CB51FF">
      <w:pPr>
        <w:rPr>
          <w:sz w:val="24"/>
        </w:rPr>
      </w:pPr>
      <w:r>
        <w:rPr>
          <w:rFonts w:hint="eastAsia"/>
          <w:sz w:val="24"/>
        </w:rPr>
        <w:t>5.  服务方</w:t>
      </w:r>
      <w:r w:rsidR="00735206" w:rsidRPr="00735206">
        <w:rPr>
          <w:rFonts w:hint="eastAsia"/>
          <w:sz w:val="24"/>
        </w:rPr>
        <w:t>具备《第三类医疗器械经营许可证》和《第二类医疗器械经营备案证</w:t>
      </w:r>
      <w:r w:rsidR="00735206">
        <w:rPr>
          <w:rFonts w:hint="eastAsia"/>
          <w:sz w:val="24"/>
        </w:rPr>
        <w:t>》</w:t>
      </w:r>
    </w:p>
    <w:p w:rsidR="0080285C" w:rsidRDefault="0080285C" w:rsidP="00CB51FF">
      <w:pPr>
        <w:rPr>
          <w:sz w:val="24"/>
        </w:rPr>
      </w:pPr>
      <w:r>
        <w:rPr>
          <w:rFonts w:hint="eastAsia"/>
          <w:sz w:val="24"/>
        </w:rPr>
        <w:t>6.  服务方具有师资培训经验，职业院校技能大赛技术支持经验。</w:t>
      </w:r>
    </w:p>
    <w:p w:rsidR="00C364AF" w:rsidRPr="009C1D0F" w:rsidRDefault="0080285C" w:rsidP="00CB51FF">
      <w:pPr>
        <w:rPr>
          <w:sz w:val="24"/>
        </w:rPr>
      </w:pPr>
      <w:r>
        <w:rPr>
          <w:rFonts w:hint="eastAsia"/>
          <w:sz w:val="24"/>
        </w:rPr>
        <w:t>7</w:t>
      </w:r>
      <w:r w:rsidR="00C364AF">
        <w:rPr>
          <w:rFonts w:hint="eastAsia"/>
          <w:sz w:val="24"/>
        </w:rPr>
        <w:t>.  提供我院符合财务制度的发票。</w:t>
      </w:r>
    </w:p>
    <w:p w:rsidR="00FE36C6" w:rsidRPr="00CB51FF" w:rsidRDefault="00FE36C6" w:rsidP="00F322D1">
      <w:pPr>
        <w:rPr>
          <w:sz w:val="24"/>
        </w:rPr>
      </w:pPr>
    </w:p>
    <w:sectPr w:rsidR="00FE36C6" w:rsidRPr="00CB51FF" w:rsidSect="006574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BCF" w:rsidRDefault="00DE3BCF" w:rsidP="00156685">
      <w:pPr>
        <w:spacing w:after="0" w:line="240" w:lineRule="auto"/>
      </w:pPr>
      <w:r>
        <w:separator/>
      </w:r>
    </w:p>
  </w:endnote>
  <w:endnote w:type="continuationSeparator" w:id="1">
    <w:p w:rsidR="00DE3BCF" w:rsidRDefault="00DE3BCF" w:rsidP="00156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BCF" w:rsidRDefault="00DE3BCF" w:rsidP="00156685">
      <w:pPr>
        <w:spacing w:after="0" w:line="240" w:lineRule="auto"/>
      </w:pPr>
      <w:r>
        <w:separator/>
      </w:r>
    </w:p>
  </w:footnote>
  <w:footnote w:type="continuationSeparator" w:id="1">
    <w:p w:rsidR="00DE3BCF" w:rsidRDefault="00DE3BCF" w:rsidP="00156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F86"/>
    <w:multiLevelType w:val="hybridMultilevel"/>
    <w:tmpl w:val="150EFB6A"/>
    <w:lvl w:ilvl="0" w:tplc="BBEAB9F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08B8"/>
    <w:rsid w:val="00020850"/>
    <w:rsid w:val="00074E8D"/>
    <w:rsid w:val="000E455A"/>
    <w:rsid w:val="001008B8"/>
    <w:rsid w:val="00156685"/>
    <w:rsid w:val="00163D1B"/>
    <w:rsid w:val="001829FE"/>
    <w:rsid w:val="001D107D"/>
    <w:rsid w:val="0027586F"/>
    <w:rsid w:val="002903D2"/>
    <w:rsid w:val="00423E8D"/>
    <w:rsid w:val="0042458A"/>
    <w:rsid w:val="00432B38"/>
    <w:rsid w:val="00432C9E"/>
    <w:rsid w:val="00466D93"/>
    <w:rsid w:val="004F3AD5"/>
    <w:rsid w:val="00550A74"/>
    <w:rsid w:val="00562C13"/>
    <w:rsid w:val="005F41CF"/>
    <w:rsid w:val="00650E98"/>
    <w:rsid w:val="00657410"/>
    <w:rsid w:val="00675D1A"/>
    <w:rsid w:val="0068273F"/>
    <w:rsid w:val="0069653B"/>
    <w:rsid w:val="006F5A92"/>
    <w:rsid w:val="00735206"/>
    <w:rsid w:val="007A68AB"/>
    <w:rsid w:val="007E599A"/>
    <w:rsid w:val="0080285C"/>
    <w:rsid w:val="00802E62"/>
    <w:rsid w:val="008463D6"/>
    <w:rsid w:val="009555AE"/>
    <w:rsid w:val="009C1D0F"/>
    <w:rsid w:val="00A80F68"/>
    <w:rsid w:val="00AC4177"/>
    <w:rsid w:val="00AC5B38"/>
    <w:rsid w:val="00AE1C45"/>
    <w:rsid w:val="00C1627F"/>
    <w:rsid w:val="00C27D0C"/>
    <w:rsid w:val="00C364AF"/>
    <w:rsid w:val="00C608F8"/>
    <w:rsid w:val="00CB51FF"/>
    <w:rsid w:val="00D024B4"/>
    <w:rsid w:val="00DE3BCF"/>
    <w:rsid w:val="00F322D1"/>
    <w:rsid w:val="00F70365"/>
    <w:rsid w:val="00F9266F"/>
    <w:rsid w:val="00FB6A0E"/>
    <w:rsid w:val="00FC07D8"/>
    <w:rsid w:val="00FE3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10"/>
    <w:pPr>
      <w:widowControl w:val="0"/>
    </w:pPr>
  </w:style>
  <w:style w:type="paragraph" w:styleId="1">
    <w:name w:val="heading 1"/>
    <w:basedOn w:val="a"/>
    <w:next w:val="a"/>
    <w:link w:val="1Char"/>
    <w:uiPriority w:val="9"/>
    <w:qFormat/>
    <w:rsid w:val="00100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100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100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100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1008B8"/>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1008B8"/>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1008B8"/>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008B8"/>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100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008B8"/>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1008B8"/>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1008B8"/>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1008B8"/>
    <w:rPr>
      <w:rFonts w:cstheme="majorBidi"/>
      <w:color w:val="2F5496" w:themeColor="accent1" w:themeShade="BF"/>
      <w:sz w:val="28"/>
      <w:szCs w:val="28"/>
    </w:rPr>
  </w:style>
  <w:style w:type="character" w:customStyle="1" w:styleId="5Char">
    <w:name w:val="标题 5 Char"/>
    <w:basedOn w:val="a0"/>
    <w:link w:val="5"/>
    <w:uiPriority w:val="9"/>
    <w:semiHidden/>
    <w:rsid w:val="001008B8"/>
    <w:rPr>
      <w:rFonts w:cstheme="majorBidi"/>
      <w:color w:val="2F5496" w:themeColor="accent1" w:themeShade="BF"/>
      <w:sz w:val="24"/>
    </w:rPr>
  </w:style>
  <w:style w:type="character" w:customStyle="1" w:styleId="6Char">
    <w:name w:val="标题 6 Char"/>
    <w:basedOn w:val="a0"/>
    <w:link w:val="6"/>
    <w:uiPriority w:val="9"/>
    <w:semiHidden/>
    <w:rsid w:val="001008B8"/>
    <w:rPr>
      <w:rFonts w:cstheme="majorBidi"/>
      <w:b/>
      <w:bCs/>
      <w:color w:val="2F5496" w:themeColor="accent1" w:themeShade="BF"/>
    </w:rPr>
  </w:style>
  <w:style w:type="character" w:customStyle="1" w:styleId="7Char">
    <w:name w:val="标题 7 Char"/>
    <w:basedOn w:val="a0"/>
    <w:link w:val="7"/>
    <w:uiPriority w:val="9"/>
    <w:semiHidden/>
    <w:rsid w:val="001008B8"/>
    <w:rPr>
      <w:rFonts w:cstheme="majorBidi"/>
      <w:b/>
      <w:bCs/>
      <w:color w:val="595959" w:themeColor="text1" w:themeTint="A6"/>
    </w:rPr>
  </w:style>
  <w:style w:type="character" w:customStyle="1" w:styleId="8Char">
    <w:name w:val="标题 8 Char"/>
    <w:basedOn w:val="a0"/>
    <w:link w:val="8"/>
    <w:uiPriority w:val="9"/>
    <w:semiHidden/>
    <w:rsid w:val="001008B8"/>
    <w:rPr>
      <w:rFonts w:cstheme="majorBidi"/>
      <w:color w:val="595959" w:themeColor="text1" w:themeTint="A6"/>
    </w:rPr>
  </w:style>
  <w:style w:type="character" w:customStyle="1" w:styleId="9Char">
    <w:name w:val="标题 9 Char"/>
    <w:basedOn w:val="a0"/>
    <w:link w:val="9"/>
    <w:uiPriority w:val="9"/>
    <w:semiHidden/>
    <w:rsid w:val="001008B8"/>
    <w:rPr>
      <w:rFonts w:eastAsiaTheme="majorEastAsia" w:cstheme="majorBidi"/>
      <w:color w:val="595959" w:themeColor="text1" w:themeTint="A6"/>
    </w:rPr>
  </w:style>
  <w:style w:type="paragraph" w:styleId="a3">
    <w:name w:val="Title"/>
    <w:basedOn w:val="a"/>
    <w:next w:val="a"/>
    <w:link w:val="Char"/>
    <w:uiPriority w:val="10"/>
    <w:qFormat/>
    <w:rsid w:val="00100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1008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0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1008B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008B8"/>
    <w:pPr>
      <w:spacing w:before="160"/>
      <w:jc w:val="center"/>
    </w:pPr>
    <w:rPr>
      <w:i/>
      <w:iCs/>
      <w:color w:val="404040" w:themeColor="text1" w:themeTint="BF"/>
    </w:rPr>
  </w:style>
  <w:style w:type="character" w:customStyle="1" w:styleId="Char1">
    <w:name w:val="引用 Char"/>
    <w:basedOn w:val="a0"/>
    <w:link w:val="a5"/>
    <w:uiPriority w:val="29"/>
    <w:rsid w:val="001008B8"/>
    <w:rPr>
      <w:i/>
      <w:iCs/>
      <w:color w:val="404040" w:themeColor="text1" w:themeTint="BF"/>
    </w:rPr>
  </w:style>
  <w:style w:type="paragraph" w:styleId="a6">
    <w:name w:val="List Paragraph"/>
    <w:basedOn w:val="a"/>
    <w:uiPriority w:val="34"/>
    <w:qFormat/>
    <w:rsid w:val="001008B8"/>
    <w:pPr>
      <w:ind w:left="720"/>
      <w:contextualSpacing/>
    </w:pPr>
  </w:style>
  <w:style w:type="character" w:styleId="a7">
    <w:name w:val="Intense Emphasis"/>
    <w:basedOn w:val="a0"/>
    <w:uiPriority w:val="21"/>
    <w:qFormat/>
    <w:rsid w:val="001008B8"/>
    <w:rPr>
      <w:i/>
      <w:iCs/>
      <w:color w:val="2F5496" w:themeColor="accent1" w:themeShade="BF"/>
    </w:rPr>
  </w:style>
  <w:style w:type="paragraph" w:styleId="a8">
    <w:name w:val="Intense Quote"/>
    <w:basedOn w:val="a"/>
    <w:next w:val="a"/>
    <w:link w:val="Char2"/>
    <w:uiPriority w:val="30"/>
    <w:qFormat/>
    <w:rsid w:val="00100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1008B8"/>
    <w:rPr>
      <w:i/>
      <w:iCs/>
      <w:color w:val="2F5496" w:themeColor="accent1" w:themeShade="BF"/>
    </w:rPr>
  </w:style>
  <w:style w:type="character" w:styleId="a9">
    <w:name w:val="Intense Reference"/>
    <w:basedOn w:val="a0"/>
    <w:uiPriority w:val="32"/>
    <w:qFormat/>
    <w:rsid w:val="001008B8"/>
    <w:rPr>
      <w:b/>
      <w:bCs/>
      <w:smallCaps/>
      <w:color w:val="2F5496" w:themeColor="accent1" w:themeShade="BF"/>
      <w:spacing w:val="5"/>
    </w:rPr>
  </w:style>
  <w:style w:type="table" w:styleId="aa">
    <w:name w:val="Table Grid"/>
    <w:basedOn w:val="a1"/>
    <w:uiPriority w:val="39"/>
    <w:rsid w:val="00C27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156685"/>
    <w:pPr>
      <w:tabs>
        <w:tab w:val="center" w:pos="4153"/>
        <w:tab w:val="right" w:pos="8306"/>
      </w:tabs>
      <w:snapToGrid w:val="0"/>
      <w:spacing w:line="240" w:lineRule="auto"/>
      <w:jc w:val="center"/>
    </w:pPr>
    <w:rPr>
      <w:sz w:val="18"/>
      <w:szCs w:val="18"/>
    </w:rPr>
  </w:style>
  <w:style w:type="character" w:customStyle="1" w:styleId="Char3">
    <w:name w:val="页眉 Char"/>
    <w:basedOn w:val="a0"/>
    <w:link w:val="ab"/>
    <w:uiPriority w:val="99"/>
    <w:rsid w:val="00156685"/>
    <w:rPr>
      <w:sz w:val="18"/>
      <w:szCs w:val="18"/>
    </w:rPr>
  </w:style>
  <w:style w:type="paragraph" w:styleId="ac">
    <w:name w:val="footer"/>
    <w:basedOn w:val="a"/>
    <w:link w:val="Char4"/>
    <w:uiPriority w:val="99"/>
    <w:unhideWhenUsed/>
    <w:rsid w:val="00156685"/>
    <w:pPr>
      <w:tabs>
        <w:tab w:val="center" w:pos="4153"/>
        <w:tab w:val="right" w:pos="8306"/>
      </w:tabs>
      <w:snapToGrid w:val="0"/>
      <w:spacing w:line="240" w:lineRule="auto"/>
    </w:pPr>
    <w:rPr>
      <w:sz w:val="18"/>
      <w:szCs w:val="18"/>
    </w:rPr>
  </w:style>
  <w:style w:type="character" w:customStyle="1" w:styleId="Char4">
    <w:name w:val="页脚 Char"/>
    <w:basedOn w:val="a0"/>
    <w:link w:val="ac"/>
    <w:uiPriority w:val="99"/>
    <w:rsid w:val="001566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zheng</dc:creator>
  <cp:lastModifiedBy>2</cp:lastModifiedBy>
  <cp:revision>3</cp:revision>
  <dcterms:created xsi:type="dcterms:W3CDTF">2025-11-10T03:51:00Z</dcterms:created>
  <dcterms:modified xsi:type="dcterms:W3CDTF">2025-11-10T03:53:00Z</dcterms:modified>
</cp:coreProperties>
</file>